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Lavori pubblici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Piano triennale opere pubbliche</w:t>
            </w:r>
          </w:p>
          <w:p w:rsidR="00304FF4" w:rsidRDefault="00577CA5">
            <w:pPr>
              <w:jc w:val="both"/>
            </w:pPr>
            <w:r>
              <w:rPr>
                <w:rFonts w:ascii="Times New Roman" w:hAnsi="Times New Roman"/>
                <w:sz w:val="22"/>
                <w:szCs w:val="22"/>
              </w:rPr>
              <w:t>Variazioni al Programma triennale e all'elenco annuale</w:t>
            </w:r>
          </w:p>
          <w:p w:rsidR="00304FF4" w:rsidRDefault="00577CA5">
            <w:pPr>
              <w:jc w:val="both"/>
            </w:pPr>
            <w:r>
              <w:rPr>
                <w:rFonts w:ascii="Times New Roman" w:hAnsi="Times New Roman"/>
                <w:sz w:val="22"/>
                <w:szCs w:val="22"/>
              </w:rPr>
              <w:t xml:space="preserve">Approvazione Programma lavori pubblici sotto i 100.000 euro </w:t>
            </w:r>
          </w:p>
          <w:p w:rsidR="00304FF4" w:rsidRDefault="00577CA5">
            <w:pPr>
              <w:jc w:val="both"/>
            </w:pPr>
            <w:r>
              <w:rPr>
                <w:rFonts w:ascii="Times New Roman" w:hAnsi="Times New Roman"/>
                <w:sz w:val="22"/>
                <w:szCs w:val="22"/>
              </w:rPr>
              <w:t>Variazioni al Programma lavori pubblici sotto i 100.000 euro</w:t>
            </w:r>
          </w:p>
          <w:p w:rsidR="00304FF4" w:rsidRDefault="00577CA5">
            <w:pPr>
              <w:jc w:val="both"/>
            </w:pPr>
            <w:r>
              <w:rPr>
                <w:rFonts w:ascii="Times New Roman" w:hAnsi="Times New Roman"/>
                <w:sz w:val="22"/>
                <w:szCs w:val="22"/>
              </w:rPr>
              <w:t>Progettazione interna (preliminare, definitiva, esecutiva)</w:t>
            </w:r>
          </w:p>
          <w:p w:rsidR="00304FF4" w:rsidRDefault="00304FF4">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304FF4" w:rsidRDefault="00577CA5">
            <w:pPr>
              <w:jc w:val="both"/>
            </w:pPr>
            <w:r>
              <w:rPr>
                <w:rFonts w:ascii="Times New Roman" w:hAnsi="Times New Roman"/>
                <w:sz w:val="22"/>
                <w:szCs w:val="22"/>
              </w:rPr>
              <w:t>Dott.ssa Schito Sandrina</w:t>
            </w:r>
          </w:p>
          <w:p w:rsidR="00304FF4" w:rsidRDefault="00304FF4">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77CA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04FF4" w:rsidRDefault="00304FF4">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Piano triennale opere pubbliche</w:t>
            </w:r>
          </w:p>
          <w:p w:rsidR="00304FF4" w:rsidRDefault="00577CA5">
            <w:pPr>
              <w:jc w:val="both"/>
            </w:pPr>
            <w:r>
              <w:rPr>
                <w:rFonts w:ascii="Times New Roman" w:hAnsi="Times New Roman"/>
                <w:sz w:val="22"/>
                <w:szCs w:val="22"/>
              </w:rPr>
              <w:t>Variazioni al Programma triennale e all'elenco annuale</w:t>
            </w:r>
          </w:p>
          <w:p w:rsidR="00304FF4" w:rsidRDefault="00577CA5">
            <w:pPr>
              <w:jc w:val="both"/>
            </w:pPr>
            <w:r>
              <w:rPr>
                <w:rFonts w:ascii="Times New Roman" w:hAnsi="Times New Roman"/>
                <w:sz w:val="22"/>
                <w:szCs w:val="22"/>
              </w:rPr>
              <w:t xml:space="preserve">Approvazione Programma lavori pubblici sotto i 100.000 euro </w:t>
            </w:r>
          </w:p>
          <w:p w:rsidR="00304FF4" w:rsidRDefault="00577CA5">
            <w:pPr>
              <w:jc w:val="both"/>
            </w:pPr>
            <w:r>
              <w:rPr>
                <w:rFonts w:ascii="Times New Roman" w:hAnsi="Times New Roman"/>
                <w:sz w:val="22"/>
                <w:szCs w:val="22"/>
              </w:rPr>
              <w:t>Variazioni al Programma lavori pubblici sotto i 100.000 euro</w:t>
            </w:r>
          </w:p>
          <w:p w:rsidR="00304FF4" w:rsidRDefault="00577CA5">
            <w:pPr>
              <w:jc w:val="both"/>
            </w:pPr>
            <w:r>
              <w:rPr>
                <w:rFonts w:ascii="Times New Roman" w:hAnsi="Times New Roman"/>
                <w:sz w:val="22"/>
                <w:szCs w:val="22"/>
              </w:rPr>
              <w:t>Progettazione interna (preliminare, definitiva, esecutiva)</w:t>
            </w:r>
          </w:p>
          <w:p w:rsidR="00304FF4" w:rsidRDefault="00304FF4">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w:t>
            </w:r>
            <w:r w:rsidRPr="00CF0984">
              <w:rPr>
                <w:rFonts w:ascii="Times New Roman" w:hAnsi="Times New Roman"/>
                <w:bCs/>
                <w:sz w:val="22"/>
                <w:szCs w:val="22"/>
              </w:rPr>
              <w:lastRenderedPageBreak/>
              <w:t>(LEA),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w:t>
            </w:r>
            <w:r>
              <w:rPr>
                <w:rFonts w:ascii="Times New Roman" w:hAnsi="Times New Roman"/>
                <w:sz w:val="22"/>
                <w:szCs w:val="22"/>
              </w:rPr>
              <w:lastRenderedPageBreak/>
              <w:t>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lastRenderedPageBreak/>
              <w:t xml:space="preserve">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w:t>
            </w:r>
            <w:r w:rsidRPr="000065F4">
              <w:rPr>
                <w:rFonts w:ascii="Times New Roman" w:hAnsi="Times New Roman"/>
                <w:b/>
                <w:sz w:val="20"/>
                <w:szCs w:val="20"/>
              </w:rPr>
              <w:lastRenderedPageBreak/>
              <w:t>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w:t>
            </w:r>
            <w:r w:rsidRPr="000065F4">
              <w:rPr>
                <w:rFonts w:ascii="Times New Roman" w:hAnsi="Times New Roman"/>
              </w:rPr>
              <w:lastRenderedPageBreak/>
              <w:t>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w:t>
            </w:r>
            <w:r w:rsidRPr="000065F4">
              <w:rPr>
                <w:rFonts w:ascii="Times New Roman" w:hAnsi="Times New Roman" w:cs="Times New Roman"/>
                <w:sz w:val="20"/>
                <w:szCs w:val="20"/>
              </w:rPr>
              <w:lastRenderedPageBreak/>
              <w:t>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CA5" w:rsidRDefault="00577CA5" w:rsidP="001F34C9">
      <w:r>
        <w:separator/>
      </w:r>
    </w:p>
  </w:endnote>
  <w:endnote w:type="continuationSeparator" w:id="0">
    <w:p w:rsidR="00577CA5" w:rsidRDefault="00577CA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45CFC">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CA5" w:rsidRDefault="00577CA5" w:rsidP="001F34C9">
      <w:r>
        <w:separator/>
      </w:r>
    </w:p>
  </w:footnote>
  <w:footnote w:type="continuationSeparator" w:id="0">
    <w:p w:rsidR="00577CA5" w:rsidRDefault="00577CA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4FF4"/>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77CA5"/>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45CFC"/>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5237</Words>
  <Characters>29857</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2019-06-18T09:41:00Z</dcterms:modified>
</cp:coreProperties>
</file>