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FINANZIARIO</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Personale (parte economica)</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CUD</w:t>
            </w:r>
          </w:p>
          <w:p w:rsidR="00E2549C" w:rsidRDefault="006A4DEB">
            <w:pPr>
              <w:jc w:val="both"/>
            </w:pPr>
            <w:r>
              <w:rPr>
                <w:rFonts w:ascii="Times New Roman" w:hAnsi="Times New Roman"/>
                <w:sz w:val="22"/>
                <w:szCs w:val="22"/>
              </w:rPr>
              <w:t>Modello 770</w:t>
            </w:r>
          </w:p>
          <w:p w:rsidR="00E2549C" w:rsidRDefault="00E2549C">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62 - Ufficio Ragioneria/Programmazione e Pianificazione - Trattamento di dati relativi all'attivita' di gestione economica, finanziaria, programmazione e provveditorato inclusa la relativa movimentazione finanziaria, la gestione delle fatture, inventario e cassa economale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E2549C" w:rsidRDefault="006A4DEB">
            <w:pPr>
              <w:jc w:val="both"/>
            </w:pPr>
            <w:r>
              <w:rPr>
                <w:rFonts w:ascii="Times New Roman" w:hAnsi="Times New Roman"/>
                <w:sz w:val="22"/>
                <w:szCs w:val="22"/>
              </w:rPr>
              <w:t>Dott.ssa Schito Sandrina</w:t>
            </w:r>
          </w:p>
          <w:p w:rsidR="00E2549C" w:rsidRDefault="00E2549C">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6A4DEB"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E2549C" w:rsidRDefault="00E2549C">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CUD</w:t>
            </w:r>
          </w:p>
          <w:p w:rsidR="00E2549C" w:rsidRDefault="006A4DEB">
            <w:pPr>
              <w:jc w:val="both"/>
            </w:pPr>
            <w:r>
              <w:rPr>
                <w:rFonts w:ascii="Times New Roman" w:hAnsi="Times New Roman"/>
                <w:sz w:val="22"/>
                <w:szCs w:val="22"/>
              </w:rPr>
              <w:t>Modello 770</w:t>
            </w:r>
          </w:p>
          <w:p w:rsidR="00E2549C" w:rsidRDefault="00E2549C">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62 -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w:t>
            </w:r>
            <w:r w:rsidRPr="00CF0984">
              <w:rPr>
                <w:rFonts w:ascii="Times New Roman" w:hAnsi="Times New Roman"/>
                <w:bCs/>
                <w:sz w:val="22"/>
                <w:szCs w:val="22"/>
              </w:rPr>
              <w:lastRenderedPageBreak/>
              <w:t>dell'Ente - L. 124/2015 e decreti legislativi attuativi - Reg. UE 679/2016 - Statuto - Regolamento sul procedimento amministrativo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w:t>
            </w:r>
            <w:r w:rsidRPr="00CF0984">
              <w:rPr>
                <w:rFonts w:ascii="Times New Roman" w:hAnsi="Times New Roman"/>
                <w:bCs/>
                <w:sz w:val="22"/>
                <w:szCs w:val="22"/>
              </w:rPr>
              <w:lastRenderedPageBreak/>
              <w:t>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lastRenderedPageBreak/>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w:t>
            </w:r>
            <w:r w:rsidRPr="000065F4">
              <w:rPr>
                <w:rFonts w:ascii="Times New Roman" w:hAnsi="Times New Roman" w:cs="Times New Roman"/>
                <w:sz w:val="20"/>
                <w:szCs w:val="20"/>
              </w:rPr>
              <w:lastRenderedPageBreak/>
              <w:t>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w:t>
            </w:r>
            <w:r w:rsidRPr="000065F4">
              <w:rPr>
                <w:rFonts w:ascii="Times New Roman" w:hAnsi="Times New Roman"/>
              </w:rPr>
              <w:lastRenderedPageBreak/>
              <w:t>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w:t>
            </w:r>
            <w:r w:rsidRPr="000065F4">
              <w:rPr>
                <w:rFonts w:ascii="Times New Roman" w:hAnsi="Times New Roman" w:cs="Times New Roman"/>
                <w:sz w:val="20"/>
                <w:szCs w:val="20"/>
              </w:rPr>
              <w:lastRenderedPageBreak/>
              <w:t>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DEB" w:rsidRDefault="006A4DEB" w:rsidP="001F34C9">
      <w:r>
        <w:separator/>
      </w:r>
    </w:p>
  </w:endnote>
  <w:endnote w:type="continuationSeparator" w:id="0">
    <w:p w:rsidR="006A4DEB" w:rsidRDefault="006A4DEB"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918AE">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DEB" w:rsidRDefault="006A4DEB" w:rsidP="001F34C9">
      <w:r>
        <w:separator/>
      </w:r>
    </w:p>
  </w:footnote>
  <w:footnote w:type="continuationSeparator" w:id="0">
    <w:p w:rsidR="006A4DEB" w:rsidRDefault="006A4DEB"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18AE"/>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A4DEB"/>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549C"/>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5148</Words>
  <Characters>29346</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2019-06-18T12:00:00Z</dcterms:modified>
</cp:coreProperties>
</file>