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Atti di controllo politico-amministrativo sui provvedimenti di gestione dell'Ente</w:t>
            </w:r>
          </w:p>
          <w:p w:rsidR="000D5E0B" w:rsidRDefault="001B2D67">
            <w:pPr>
              <w:jc w:val="both"/>
            </w:pPr>
            <w:r>
              <w:rPr>
                <w:rFonts w:ascii="Times New Roman" w:hAnsi="Times New Roman"/>
                <w:sz w:val="22"/>
                <w:szCs w:val="22"/>
              </w:rPr>
              <w:t>Atti di indirizzo e di amministrazione a contenuto generale</w:t>
            </w:r>
          </w:p>
          <w:p w:rsidR="000D5E0B" w:rsidRDefault="001B2D67">
            <w:pPr>
              <w:jc w:val="both"/>
            </w:pPr>
            <w:r>
              <w:rPr>
                <w:rFonts w:ascii="Times New Roman" w:hAnsi="Times New Roman"/>
                <w:sz w:val="22"/>
                <w:szCs w:val="22"/>
              </w:rPr>
              <w:t>Parere sul documento delle linee programmatiche di mandato del Sindaco</w:t>
            </w:r>
          </w:p>
          <w:p w:rsidR="000D5E0B" w:rsidRDefault="001B2D67">
            <w:pPr>
              <w:jc w:val="both"/>
            </w:pPr>
            <w:r>
              <w:rPr>
                <w:rFonts w:ascii="Times New Roman" w:hAnsi="Times New Roman"/>
                <w:sz w:val="22"/>
                <w:szCs w:val="22"/>
              </w:rPr>
              <w:t>Programmi, piani e progetti esecutivi attuativi del programma amministrativo del Sindaco, che non rientrano nella competenza del Consiglio comunale o nelle funzioni di gestione dell'Ent</w:t>
            </w:r>
            <w:r>
              <w:rPr>
                <w:rFonts w:ascii="Times New Roman" w:hAnsi="Times New Roman"/>
                <w:sz w:val="22"/>
                <w:szCs w:val="22"/>
              </w:rPr>
              <w:t>e</w:t>
            </w:r>
          </w:p>
          <w:p w:rsidR="000D5E0B" w:rsidRDefault="001B2D67">
            <w:pPr>
              <w:jc w:val="both"/>
            </w:pPr>
            <w:r>
              <w:rPr>
                <w:rFonts w:ascii="Times New Roman" w:hAnsi="Times New Roman"/>
                <w:sz w:val="22"/>
                <w:szCs w:val="22"/>
              </w:rPr>
              <w:t>Indirizzi per la copertura dei posti della pianta organica</w:t>
            </w:r>
          </w:p>
          <w:p w:rsidR="000D5E0B" w:rsidRDefault="001B2D67">
            <w:pPr>
              <w:jc w:val="both"/>
            </w:pPr>
            <w:r>
              <w:rPr>
                <w:rFonts w:ascii="Times New Roman" w:hAnsi="Times New Roman"/>
                <w:sz w:val="22"/>
                <w:szCs w:val="22"/>
              </w:rPr>
              <w:t>Indirizzi concernenti le condizioni e le clausole per gli accordi, le convenzioni, le concessioni, i contratti e le intese con soggetti pubblici e privati</w:t>
            </w:r>
          </w:p>
          <w:p w:rsidR="000D5E0B" w:rsidRDefault="001B2D67">
            <w:pPr>
              <w:jc w:val="both"/>
            </w:pPr>
            <w:r>
              <w:rPr>
                <w:rFonts w:ascii="Times New Roman" w:hAnsi="Times New Roman"/>
                <w:sz w:val="22"/>
                <w:szCs w:val="22"/>
              </w:rPr>
              <w:t>Regolamenti e bozze di atti fondamentali</w:t>
            </w:r>
            <w:r>
              <w:rPr>
                <w:rFonts w:ascii="Times New Roman" w:hAnsi="Times New Roman"/>
                <w:sz w:val="22"/>
                <w:szCs w:val="22"/>
              </w:rPr>
              <w:t xml:space="preserve"> da sottoporre alle determinazioni del Consiglio e collaborazione nelle attivita' di iniziativa, d'impulso e di raccordo con gli organi di partecipazione</w:t>
            </w:r>
          </w:p>
          <w:p w:rsidR="000D5E0B" w:rsidRDefault="001B2D67">
            <w:pPr>
              <w:jc w:val="both"/>
            </w:pPr>
            <w:r>
              <w:rPr>
                <w:rFonts w:ascii="Times New Roman" w:hAnsi="Times New Roman"/>
                <w:sz w:val="22"/>
                <w:szCs w:val="22"/>
              </w:rPr>
              <w:t>Criteri generali per la determinazione delle tariffe</w:t>
            </w:r>
          </w:p>
          <w:p w:rsidR="000D5E0B" w:rsidRDefault="001B2D67">
            <w:pPr>
              <w:jc w:val="both"/>
            </w:pPr>
            <w:r>
              <w:rPr>
                <w:rFonts w:ascii="Times New Roman" w:hAnsi="Times New Roman"/>
                <w:sz w:val="22"/>
                <w:szCs w:val="22"/>
              </w:rPr>
              <w:t>Accordi siglati in fase di contrattazione decentr</w:t>
            </w:r>
            <w:r>
              <w:rPr>
                <w:rFonts w:ascii="Times New Roman" w:hAnsi="Times New Roman"/>
                <w:sz w:val="22"/>
                <w:szCs w:val="22"/>
              </w:rPr>
              <w:t>ata</w:t>
            </w:r>
          </w:p>
          <w:p w:rsidR="000D5E0B" w:rsidRDefault="001B2D67">
            <w:pPr>
              <w:jc w:val="both"/>
            </w:pPr>
            <w:r>
              <w:rPr>
                <w:rFonts w:ascii="Times New Roman" w:hAnsi="Times New Roman"/>
                <w:sz w:val="22"/>
                <w:szCs w:val="22"/>
              </w:rPr>
              <w:t>Indirizzi, previa determinazione dei costi e individuazione dei mezzi, per l'esercizio delle funzioni conferite dalla Provincia, dalla Regione e dallo Stato</w:t>
            </w:r>
          </w:p>
          <w:p w:rsidR="000D5E0B" w:rsidRDefault="001B2D67">
            <w:pPr>
              <w:jc w:val="both"/>
            </w:pPr>
            <w:r>
              <w:rPr>
                <w:rFonts w:ascii="Times New Roman" w:hAnsi="Times New Roman"/>
                <w:sz w:val="22"/>
                <w:szCs w:val="22"/>
              </w:rPr>
              <w:t>Indirizzi, criteri ed indicazioni per il conferimento di incarichi, consulenze, designazioni, n</w:t>
            </w:r>
            <w:r>
              <w:rPr>
                <w:rFonts w:ascii="Times New Roman" w:hAnsi="Times New Roman"/>
                <w:sz w:val="22"/>
                <w:szCs w:val="22"/>
              </w:rPr>
              <w:t>omine e composizioni di commissioni</w:t>
            </w:r>
          </w:p>
          <w:p w:rsidR="000D5E0B" w:rsidRDefault="001B2D67">
            <w:pPr>
              <w:jc w:val="both"/>
            </w:pPr>
            <w:r>
              <w:rPr>
                <w:rFonts w:ascii="Times New Roman" w:hAnsi="Times New Roman"/>
                <w:sz w:val="22"/>
                <w:szCs w:val="22"/>
              </w:rPr>
              <w:t>Indirizzi, criteri ed indicazioni per la concessione di contributi e sussidi non obbligatori a soggetti pubblici o privati</w:t>
            </w:r>
          </w:p>
          <w:p w:rsidR="000D5E0B" w:rsidRDefault="001B2D67">
            <w:pPr>
              <w:jc w:val="both"/>
            </w:pPr>
            <w:r>
              <w:rPr>
                <w:rFonts w:ascii="Times New Roman" w:hAnsi="Times New Roman"/>
                <w:sz w:val="22"/>
                <w:szCs w:val="22"/>
              </w:rPr>
              <w:t>Variazioni al bilancio ai sensi dell'articolo 42, comma 3, del T.U. 267/2000</w:t>
            </w:r>
          </w:p>
          <w:p w:rsidR="000D5E0B" w:rsidRDefault="001B2D67">
            <w:pPr>
              <w:jc w:val="both"/>
            </w:pPr>
            <w:r>
              <w:rPr>
                <w:rFonts w:ascii="Times New Roman" w:hAnsi="Times New Roman"/>
                <w:sz w:val="22"/>
                <w:szCs w:val="22"/>
              </w:rPr>
              <w:t xml:space="preserve">Linee, misura delle </w:t>
            </w:r>
            <w:r>
              <w:rPr>
                <w:rFonts w:ascii="Times New Roman" w:hAnsi="Times New Roman"/>
                <w:sz w:val="22"/>
                <w:szCs w:val="22"/>
              </w:rPr>
              <w:t>risorse ed obiettivi da osservarsi dalla delegazione trattante di parte pubblica nella conduzione delle trattative per la contrattazione e per gli accordi decentrati, con autorizzazione preventiva alla sottoscrizione conclusiva dei contratti decentrati</w:t>
            </w:r>
          </w:p>
          <w:p w:rsidR="000D5E0B" w:rsidRDefault="001B2D67">
            <w:pPr>
              <w:jc w:val="both"/>
            </w:pPr>
            <w:r>
              <w:rPr>
                <w:rFonts w:ascii="Times New Roman" w:hAnsi="Times New Roman"/>
                <w:sz w:val="22"/>
                <w:szCs w:val="22"/>
              </w:rPr>
              <w:t>Ass</w:t>
            </w:r>
            <w:r>
              <w:rPr>
                <w:rFonts w:ascii="Times New Roman" w:hAnsi="Times New Roman"/>
                <w:sz w:val="22"/>
                <w:szCs w:val="22"/>
              </w:rPr>
              <w:t>unzione di personale mediante concorsi, mobilita' e contratti di lavoro a tempo determinato o flessibile</w:t>
            </w:r>
          </w:p>
          <w:p w:rsidR="000D5E0B" w:rsidRDefault="001B2D67">
            <w:pPr>
              <w:jc w:val="both"/>
            </w:pPr>
            <w:r>
              <w:rPr>
                <w:rFonts w:ascii="Times New Roman" w:hAnsi="Times New Roman"/>
                <w:sz w:val="22"/>
                <w:szCs w:val="22"/>
              </w:rPr>
              <w:t>Indirizzi e criteri di massima per il nucleo di valutazione/OIV</w:t>
            </w:r>
          </w:p>
          <w:p w:rsidR="000D5E0B" w:rsidRDefault="001B2D67">
            <w:pPr>
              <w:jc w:val="both"/>
            </w:pPr>
            <w:r>
              <w:rPr>
                <w:rFonts w:ascii="Times New Roman" w:hAnsi="Times New Roman"/>
                <w:sz w:val="22"/>
                <w:szCs w:val="22"/>
              </w:rPr>
              <w:t>Esternalizzazione di attivita' comunali e servizi</w:t>
            </w:r>
          </w:p>
          <w:p w:rsidR="000D5E0B" w:rsidRDefault="001B2D67">
            <w:pPr>
              <w:jc w:val="both"/>
            </w:pPr>
            <w:r>
              <w:rPr>
                <w:rFonts w:ascii="Times New Roman" w:hAnsi="Times New Roman"/>
                <w:sz w:val="22"/>
                <w:szCs w:val="22"/>
              </w:rPr>
              <w:t>Misure tariffe, canoni, tasse ed oner</w:t>
            </w:r>
            <w:r>
              <w:rPr>
                <w:rFonts w:ascii="Times New Roman" w:hAnsi="Times New Roman"/>
                <w:sz w:val="22"/>
                <w:szCs w:val="22"/>
              </w:rPr>
              <w:t>i per le utenze dei servizi</w:t>
            </w:r>
          </w:p>
          <w:p w:rsidR="000D5E0B" w:rsidRDefault="001B2D67">
            <w:pPr>
              <w:jc w:val="both"/>
            </w:pPr>
            <w:r>
              <w:rPr>
                <w:rFonts w:ascii="Times New Roman" w:hAnsi="Times New Roman"/>
                <w:sz w:val="22"/>
                <w:szCs w:val="22"/>
              </w:rPr>
              <w:t>Direttive e indirizzi in ordine al funzionamento e all'attivita' amministrativa</w:t>
            </w:r>
          </w:p>
          <w:p w:rsidR="000D5E0B" w:rsidRDefault="001B2D67">
            <w:pPr>
              <w:jc w:val="both"/>
            </w:pPr>
            <w:r>
              <w:rPr>
                <w:rFonts w:ascii="Times New Roman" w:hAnsi="Times New Roman"/>
                <w:sz w:val="22"/>
                <w:szCs w:val="22"/>
              </w:rPr>
              <w:t>Coordinamento Assessori</w:t>
            </w:r>
          </w:p>
          <w:p w:rsidR="000D5E0B" w:rsidRDefault="001B2D67">
            <w:pPr>
              <w:jc w:val="both"/>
            </w:pPr>
            <w:r>
              <w:rPr>
                <w:rFonts w:ascii="Times New Roman" w:hAnsi="Times New Roman"/>
                <w:sz w:val="22"/>
                <w:szCs w:val="22"/>
              </w:rPr>
              <w:t>Linee programmatiche di mandato</w:t>
            </w:r>
          </w:p>
          <w:p w:rsidR="000D5E0B" w:rsidRDefault="001B2D67">
            <w:pPr>
              <w:jc w:val="both"/>
            </w:pPr>
            <w:r>
              <w:rPr>
                <w:rFonts w:ascii="Times New Roman" w:hAnsi="Times New Roman"/>
                <w:sz w:val="22"/>
                <w:szCs w:val="22"/>
              </w:rPr>
              <w:t xml:space="preserve">Statuti dell'ente e delle aziende speciali, regolamenti nonche' criteri generali in materia </w:t>
            </w:r>
            <w:r>
              <w:rPr>
                <w:rFonts w:ascii="Times New Roman" w:hAnsi="Times New Roman"/>
                <w:sz w:val="22"/>
                <w:szCs w:val="22"/>
              </w:rPr>
              <w:t>di ordinamento degli uffici e dei servizi</w:t>
            </w:r>
          </w:p>
          <w:p w:rsidR="000D5E0B" w:rsidRDefault="001B2D67">
            <w:pPr>
              <w:jc w:val="both"/>
            </w:pPr>
            <w:r>
              <w:rPr>
                <w:rFonts w:ascii="Times New Roman" w:hAnsi="Times New Roman"/>
                <w:sz w:val="22"/>
                <w:szCs w:val="22"/>
              </w:rPr>
              <w:t>Programmazione e pianificazione</w:t>
            </w:r>
          </w:p>
          <w:p w:rsidR="000D5E0B" w:rsidRDefault="001B2D67">
            <w:pPr>
              <w:jc w:val="both"/>
            </w:pPr>
            <w:r>
              <w:rPr>
                <w:rFonts w:ascii="Times New Roman" w:hAnsi="Times New Roman"/>
                <w:sz w:val="22"/>
                <w:szCs w:val="22"/>
              </w:rPr>
              <w:t>Contrazione dei mutui non previsti espressamente in atti fondamentali del Consiglio Comunale ed emissione dei prestiti obbligazionari</w:t>
            </w:r>
          </w:p>
          <w:p w:rsidR="000D5E0B" w:rsidRDefault="001B2D67">
            <w:pPr>
              <w:jc w:val="both"/>
            </w:pPr>
            <w:r>
              <w:rPr>
                <w:rFonts w:ascii="Times New Roman" w:hAnsi="Times New Roman"/>
                <w:sz w:val="22"/>
                <w:szCs w:val="22"/>
              </w:rPr>
              <w:t>Spese che impegnano i bilanci per gli esercizi s</w:t>
            </w:r>
            <w:r>
              <w:rPr>
                <w:rFonts w:ascii="Times New Roman" w:hAnsi="Times New Roman"/>
                <w:sz w:val="22"/>
                <w:szCs w:val="22"/>
              </w:rPr>
              <w:t>uccessivi, escluse quelle relative alle locazioni di immobili ed alla somministrazione e fornitura di beni e servizi a carattere continuativo</w:t>
            </w:r>
          </w:p>
          <w:p w:rsidR="000D5E0B" w:rsidRDefault="001B2D67">
            <w:pPr>
              <w:jc w:val="both"/>
            </w:pPr>
            <w:r>
              <w:rPr>
                <w:rFonts w:ascii="Times New Roman" w:hAnsi="Times New Roman"/>
                <w:sz w:val="22"/>
                <w:szCs w:val="22"/>
              </w:rPr>
              <w:t>Indirizzi per la nomina e la designazione dei rappresentanti del Comune presso enti, aziende ed istituzioni nonche</w:t>
            </w:r>
            <w:r>
              <w:rPr>
                <w:rFonts w:ascii="Times New Roman" w:hAnsi="Times New Roman"/>
                <w:sz w:val="22"/>
                <w:szCs w:val="22"/>
              </w:rPr>
              <w:t>' per la nomina dei rappresentanti del Consiglio presso enti, aziende ed istituzioni ad esso espressamente riservata dalla legge</w:t>
            </w:r>
          </w:p>
          <w:p w:rsidR="000D5E0B" w:rsidRDefault="001B2D67">
            <w:pPr>
              <w:jc w:val="both"/>
            </w:pPr>
            <w:r>
              <w:rPr>
                <w:rFonts w:ascii="Times New Roman" w:hAnsi="Times New Roman"/>
                <w:sz w:val="22"/>
                <w:szCs w:val="22"/>
              </w:rPr>
              <w:t>Organismi di decentramento e di partecipazione</w:t>
            </w:r>
          </w:p>
          <w:p w:rsidR="000D5E0B" w:rsidRDefault="001B2D67">
            <w:pPr>
              <w:jc w:val="both"/>
            </w:pPr>
            <w:r>
              <w:rPr>
                <w:rFonts w:ascii="Times New Roman" w:hAnsi="Times New Roman"/>
                <w:sz w:val="22"/>
                <w:szCs w:val="22"/>
              </w:rPr>
              <w:t>Istituzione e ordinamento dei tributi, con esclusione della determinazione delle relative aliquote; disciplina generale delle tariffe per la fruizione dei beni e dei servizi</w:t>
            </w:r>
          </w:p>
          <w:p w:rsidR="000D5E0B" w:rsidRDefault="001B2D67">
            <w:pPr>
              <w:jc w:val="both"/>
            </w:pPr>
            <w:r>
              <w:rPr>
                <w:rFonts w:ascii="Times New Roman" w:hAnsi="Times New Roman"/>
                <w:sz w:val="22"/>
                <w:szCs w:val="22"/>
              </w:rPr>
              <w:lastRenderedPageBreak/>
              <w:t>Indirizzi da osservare da parte delle aziende pubbliche e degli enti dipendenti, s</w:t>
            </w:r>
            <w:r>
              <w:rPr>
                <w:rFonts w:ascii="Times New Roman" w:hAnsi="Times New Roman"/>
                <w:sz w:val="22"/>
                <w:szCs w:val="22"/>
              </w:rPr>
              <w:t>ovvenzionati o sottoposti a vigilanza</w:t>
            </w:r>
          </w:p>
          <w:p w:rsidR="000D5E0B" w:rsidRDefault="001B2D67">
            <w:pPr>
              <w:jc w:val="both"/>
            </w:pPr>
            <w:r>
              <w:rPr>
                <w:rFonts w:ascii="Times New Roman" w:hAnsi="Times New Roman"/>
                <w:sz w:val="22"/>
                <w:szCs w:val="22"/>
              </w:rPr>
              <w:t>Acquisti ed alienazioni immobiliari, relative permute, appalti e concessioni che non siano previsti espressamente in atti fondamentali del Consiglio o che non ne costituiscano mera esecuzione e che, comunque, non rient</w:t>
            </w:r>
            <w:r>
              <w:rPr>
                <w:rFonts w:ascii="Times New Roman" w:hAnsi="Times New Roman"/>
                <w:sz w:val="22"/>
                <w:szCs w:val="22"/>
              </w:rPr>
              <w:t>rino nella ordinaria amministrazione di funzioni e servizi di competenza della Giunta, del Segretario Generale o di altri funzionari</w:t>
            </w:r>
          </w:p>
          <w:p w:rsidR="000D5E0B" w:rsidRDefault="001B2D67">
            <w:pPr>
              <w:jc w:val="both"/>
            </w:pPr>
            <w:r>
              <w:rPr>
                <w:rFonts w:ascii="Times New Roman" w:hAnsi="Times New Roman"/>
                <w:sz w:val="22"/>
                <w:szCs w:val="22"/>
              </w:rPr>
              <w:t>Indirizzi generali e obiettivi strategici in materia di prevenzione della corruzione e di trasparenza</w:t>
            </w:r>
          </w:p>
          <w:p w:rsidR="000D5E0B" w:rsidRDefault="000D5E0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lastRenderedPageBreak/>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0D5E0B" w:rsidRDefault="001B2D67">
            <w:pPr>
              <w:jc w:val="both"/>
            </w:pPr>
            <w:r>
              <w:rPr>
                <w:rFonts w:ascii="Times New Roman" w:hAnsi="Times New Roman"/>
                <w:sz w:val="22"/>
                <w:szCs w:val="22"/>
              </w:rPr>
              <w:t>Dott.ssa Schito Sandrina</w:t>
            </w:r>
          </w:p>
          <w:p w:rsidR="000D5E0B" w:rsidRDefault="000D5E0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1B2D6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D5E0B" w:rsidRDefault="000D5E0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Atti di controllo politico-amministrativo sui provvedimenti di gestione dell'Ente</w:t>
            </w:r>
          </w:p>
          <w:p w:rsidR="000D5E0B" w:rsidRDefault="001B2D67">
            <w:pPr>
              <w:jc w:val="both"/>
            </w:pPr>
            <w:r>
              <w:rPr>
                <w:rFonts w:ascii="Times New Roman" w:hAnsi="Times New Roman"/>
                <w:sz w:val="22"/>
                <w:szCs w:val="22"/>
              </w:rPr>
              <w:t>Atti di indirizzo e di amministrazione a contenuto generale</w:t>
            </w:r>
          </w:p>
          <w:p w:rsidR="000D5E0B" w:rsidRDefault="001B2D67">
            <w:pPr>
              <w:jc w:val="both"/>
            </w:pPr>
            <w:r>
              <w:rPr>
                <w:rFonts w:ascii="Times New Roman" w:hAnsi="Times New Roman"/>
                <w:sz w:val="22"/>
                <w:szCs w:val="22"/>
              </w:rPr>
              <w:t>Parere sul documento delle linee programmatiche di mandato del Sindaco</w:t>
            </w:r>
          </w:p>
          <w:p w:rsidR="000D5E0B" w:rsidRDefault="001B2D67">
            <w:pPr>
              <w:jc w:val="both"/>
            </w:pPr>
            <w:r>
              <w:rPr>
                <w:rFonts w:ascii="Times New Roman" w:hAnsi="Times New Roman"/>
                <w:sz w:val="22"/>
                <w:szCs w:val="22"/>
              </w:rPr>
              <w:t>Programmi, piani e progetti esecutivi attuativi del programma</w:t>
            </w:r>
            <w:r>
              <w:rPr>
                <w:rFonts w:ascii="Times New Roman" w:hAnsi="Times New Roman"/>
                <w:sz w:val="22"/>
                <w:szCs w:val="22"/>
              </w:rPr>
              <w:t xml:space="preserve"> amministrativo del Sindaco, che non rientrano nella competenza del Consiglio comunale o nelle funzioni di gestione dell'Ente</w:t>
            </w:r>
          </w:p>
          <w:p w:rsidR="000D5E0B" w:rsidRDefault="001B2D67">
            <w:pPr>
              <w:jc w:val="both"/>
            </w:pPr>
            <w:r>
              <w:rPr>
                <w:rFonts w:ascii="Times New Roman" w:hAnsi="Times New Roman"/>
                <w:sz w:val="22"/>
                <w:szCs w:val="22"/>
              </w:rPr>
              <w:t>Indirizzi per la copertura dei posti della pianta organica</w:t>
            </w:r>
          </w:p>
          <w:p w:rsidR="000D5E0B" w:rsidRDefault="001B2D67">
            <w:pPr>
              <w:jc w:val="both"/>
            </w:pPr>
            <w:r>
              <w:rPr>
                <w:rFonts w:ascii="Times New Roman" w:hAnsi="Times New Roman"/>
                <w:sz w:val="22"/>
                <w:szCs w:val="22"/>
              </w:rPr>
              <w:t>Indirizzi concernenti le condizioni e le clausole per gli accordi, le c</w:t>
            </w:r>
            <w:r>
              <w:rPr>
                <w:rFonts w:ascii="Times New Roman" w:hAnsi="Times New Roman"/>
                <w:sz w:val="22"/>
                <w:szCs w:val="22"/>
              </w:rPr>
              <w:t>onvenzioni, le concessioni, i contratti e le intese con soggetti pubblici e privati</w:t>
            </w:r>
          </w:p>
          <w:p w:rsidR="000D5E0B" w:rsidRDefault="001B2D67">
            <w:pPr>
              <w:jc w:val="both"/>
            </w:pPr>
            <w:r>
              <w:rPr>
                <w:rFonts w:ascii="Times New Roman" w:hAnsi="Times New Roman"/>
                <w:sz w:val="22"/>
                <w:szCs w:val="22"/>
              </w:rPr>
              <w:t>Regolamenti e bozze di atti fondamentali da sottoporre alle determinazioni del Consiglio e collaborazione nelle attivita' di iniziativa, d'impulso e di raccordo con gli org</w:t>
            </w:r>
            <w:r>
              <w:rPr>
                <w:rFonts w:ascii="Times New Roman" w:hAnsi="Times New Roman"/>
                <w:sz w:val="22"/>
                <w:szCs w:val="22"/>
              </w:rPr>
              <w:t>ani di partecipazione</w:t>
            </w:r>
          </w:p>
          <w:p w:rsidR="000D5E0B" w:rsidRDefault="001B2D67">
            <w:pPr>
              <w:jc w:val="both"/>
            </w:pPr>
            <w:r>
              <w:rPr>
                <w:rFonts w:ascii="Times New Roman" w:hAnsi="Times New Roman"/>
                <w:sz w:val="22"/>
                <w:szCs w:val="22"/>
              </w:rPr>
              <w:t>Criteri generali per la determinazione delle tariffe</w:t>
            </w:r>
          </w:p>
          <w:p w:rsidR="000D5E0B" w:rsidRDefault="001B2D67">
            <w:pPr>
              <w:jc w:val="both"/>
            </w:pPr>
            <w:r>
              <w:rPr>
                <w:rFonts w:ascii="Times New Roman" w:hAnsi="Times New Roman"/>
                <w:sz w:val="22"/>
                <w:szCs w:val="22"/>
              </w:rPr>
              <w:t>Accordi siglati in fase di contrattazione decentrata</w:t>
            </w:r>
          </w:p>
          <w:p w:rsidR="000D5E0B" w:rsidRDefault="001B2D67">
            <w:pPr>
              <w:jc w:val="both"/>
            </w:pPr>
            <w:r>
              <w:rPr>
                <w:rFonts w:ascii="Times New Roman" w:hAnsi="Times New Roman"/>
                <w:sz w:val="22"/>
                <w:szCs w:val="22"/>
              </w:rPr>
              <w:t>Indirizzi, previa determinazione dei costi e individuazione dei mezzi, per l'esercizio delle funzioni conferite dalla Provincia,</w:t>
            </w:r>
            <w:r>
              <w:rPr>
                <w:rFonts w:ascii="Times New Roman" w:hAnsi="Times New Roman"/>
                <w:sz w:val="22"/>
                <w:szCs w:val="22"/>
              </w:rPr>
              <w:t xml:space="preserve"> dalla Regione e dallo Stato</w:t>
            </w:r>
          </w:p>
          <w:p w:rsidR="000D5E0B" w:rsidRDefault="001B2D67">
            <w:pPr>
              <w:jc w:val="both"/>
            </w:pPr>
            <w:r>
              <w:rPr>
                <w:rFonts w:ascii="Times New Roman" w:hAnsi="Times New Roman"/>
                <w:sz w:val="22"/>
                <w:szCs w:val="22"/>
              </w:rPr>
              <w:t>Indirizzi, criteri ed indicazioni per il conferimento di incarichi, consulenze, designazioni, nomine e composizioni di commissioni</w:t>
            </w:r>
          </w:p>
          <w:p w:rsidR="000D5E0B" w:rsidRDefault="001B2D67">
            <w:pPr>
              <w:jc w:val="both"/>
            </w:pPr>
            <w:r>
              <w:rPr>
                <w:rFonts w:ascii="Times New Roman" w:hAnsi="Times New Roman"/>
                <w:sz w:val="22"/>
                <w:szCs w:val="22"/>
              </w:rPr>
              <w:t>Indirizzi, criteri ed indicazioni per la concessione di contributi e sussidi non obbligatori a s</w:t>
            </w:r>
            <w:r>
              <w:rPr>
                <w:rFonts w:ascii="Times New Roman" w:hAnsi="Times New Roman"/>
                <w:sz w:val="22"/>
                <w:szCs w:val="22"/>
              </w:rPr>
              <w:t>oggetti pubblici o privati</w:t>
            </w:r>
          </w:p>
          <w:p w:rsidR="000D5E0B" w:rsidRDefault="001B2D67">
            <w:pPr>
              <w:jc w:val="both"/>
            </w:pPr>
            <w:r>
              <w:rPr>
                <w:rFonts w:ascii="Times New Roman" w:hAnsi="Times New Roman"/>
                <w:sz w:val="22"/>
                <w:szCs w:val="22"/>
              </w:rPr>
              <w:lastRenderedPageBreak/>
              <w:t>Variazioni al bilancio ai sensi dell'articolo 42, comma 3, del T.U. 267/2000</w:t>
            </w:r>
          </w:p>
          <w:p w:rsidR="000D5E0B" w:rsidRDefault="001B2D67">
            <w:pPr>
              <w:jc w:val="both"/>
            </w:pPr>
            <w:r>
              <w:rPr>
                <w:rFonts w:ascii="Times New Roman" w:hAnsi="Times New Roman"/>
                <w:sz w:val="22"/>
                <w:szCs w:val="22"/>
              </w:rPr>
              <w:t>Linee, misura delle risorse ed obiettivi da osservarsi dalla delegazione trattante di parte pubblica nella conduzione delle trattative per la contrattaz</w:t>
            </w:r>
            <w:r>
              <w:rPr>
                <w:rFonts w:ascii="Times New Roman" w:hAnsi="Times New Roman"/>
                <w:sz w:val="22"/>
                <w:szCs w:val="22"/>
              </w:rPr>
              <w:t>ione e per gli accordi decentrati, con autorizzazione preventiva alla sottoscrizione conclusiva dei contratti decentrati</w:t>
            </w:r>
          </w:p>
          <w:p w:rsidR="000D5E0B" w:rsidRDefault="001B2D67">
            <w:pPr>
              <w:jc w:val="both"/>
            </w:pPr>
            <w:r>
              <w:rPr>
                <w:rFonts w:ascii="Times New Roman" w:hAnsi="Times New Roman"/>
                <w:sz w:val="22"/>
                <w:szCs w:val="22"/>
              </w:rPr>
              <w:t>Assunzione di personale mediante concorsi, mobilita' e contratti di lavoro a tempo determinato o flessibile</w:t>
            </w:r>
          </w:p>
          <w:p w:rsidR="000D5E0B" w:rsidRDefault="001B2D67">
            <w:pPr>
              <w:jc w:val="both"/>
            </w:pPr>
            <w:r>
              <w:rPr>
                <w:rFonts w:ascii="Times New Roman" w:hAnsi="Times New Roman"/>
                <w:sz w:val="22"/>
                <w:szCs w:val="22"/>
              </w:rPr>
              <w:t>Indirizzi e criteri di mass</w:t>
            </w:r>
            <w:r>
              <w:rPr>
                <w:rFonts w:ascii="Times New Roman" w:hAnsi="Times New Roman"/>
                <w:sz w:val="22"/>
                <w:szCs w:val="22"/>
              </w:rPr>
              <w:t>ima per il nucleo di valutazione/OIV</w:t>
            </w:r>
          </w:p>
          <w:p w:rsidR="000D5E0B" w:rsidRDefault="001B2D67">
            <w:pPr>
              <w:jc w:val="both"/>
            </w:pPr>
            <w:r>
              <w:rPr>
                <w:rFonts w:ascii="Times New Roman" w:hAnsi="Times New Roman"/>
                <w:sz w:val="22"/>
                <w:szCs w:val="22"/>
              </w:rPr>
              <w:t>Esternalizzazione di attivita' comunali e servizi</w:t>
            </w:r>
          </w:p>
          <w:p w:rsidR="000D5E0B" w:rsidRDefault="001B2D67">
            <w:pPr>
              <w:jc w:val="both"/>
            </w:pPr>
            <w:r>
              <w:rPr>
                <w:rFonts w:ascii="Times New Roman" w:hAnsi="Times New Roman"/>
                <w:sz w:val="22"/>
                <w:szCs w:val="22"/>
              </w:rPr>
              <w:t>Misure tariffe, canoni, tasse ed oneri per le utenze dei servizi</w:t>
            </w:r>
          </w:p>
          <w:p w:rsidR="000D5E0B" w:rsidRDefault="001B2D67">
            <w:pPr>
              <w:jc w:val="both"/>
            </w:pPr>
            <w:r>
              <w:rPr>
                <w:rFonts w:ascii="Times New Roman" w:hAnsi="Times New Roman"/>
                <w:sz w:val="22"/>
                <w:szCs w:val="22"/>
              </w:rPr>
              <w:t>Direttive e indirizzi in ordine al funzionamento e all'attivita' amministrativa</w:t>
            </w:r>
          </w:p>
          <w:p w:rsidR="000D5E0B" w:rsidRDefault="001B2D67">
            <w:pPr>
              <w:jc w:val="both"/>
            </w:pPr>
            <w:r>
              <w:rPr>
                <w:rFonts w:ascii="Times New Roman" w:hAnsi="Times New Roman"/>
                <w:sz w:val="22"/>
                <w:szCs w:val="22"/>
              </w:rPr>
              <w:t>Coordinamento Assessori</w:t>
            </w:r>
          </w:p>
          <w:p w:rsidR="000D5E0B" w:rsidRDefault="001B2D67">
            <w:pPr>
              <w:jc w:val="both"/>
            </w:pPr>
            <w:r>
              <w:rPr>
                <w:rFonts w:ascii="Times New Roman" w:hAnsi="Times New Roman"/>
                <w:sz w:val="22"/>
                <w:szCs w:val="22"/>
              </w:rPr>
              <w:t>Linee programmatiche di mandato</w:t>
            </w:r>
          </w:p>
          <w:p w:rsidR="000D5E0B" w:rsidRDefault="001B2D67">
            <w:pPr>
              <w:jc w:val="both"/>
            </w:pPr>
            <w:r>
              <w:rPr>
                <w:rFonts w:ascii="Times New Roman" w:hAnsi="Times New Roman"/>
                <w:sz w:val="22"/>
                <w:szCs w:val="22"/>
              </w:rPr>
              <w:t>Statuti dell'ente e delle aziende speciali, regolamenti nonche' criteri generali in materia di ordinamento degli uffici e dei servizi</w:t>
            </w:r>
          </w:p>
          <w:p w:rsidR="000D5E0B" w:rsidRDefault="001B2D67">
            <w:pPr>
              <w:jc w:val="both"/>
            </w:pPr>
            <w:r>
              <w:rPr>
                <w:rFonts w:ascii="Times New Roman" w:hAnsi="Times New Roman"/>
                <w:sz w:val="22"/>
                <w:szCs w:val="22"/>
              </w:rPr>
              <w:t>Programmazione e pianificazione</w:t>
            </w:r>
          </w:p>
          <w:p w:rsidR="000D5E0B" w:rsidRDefault="001B2D67">
            <w:pPr>
              <w:jc w:val="both"/>
            </w:pPr>
            <w:r>
              <w:rPr>
                <w:rFonts w:ascii="Times New Roman" w:hAnsi="Times New Roman"/>
                <w:sz w:val="22"/>
                <w:szCs w:val="22"/>
              </w:rPr>
              <w:t>Contrazione dei mutui non previsti espressamente in atti f</w:t>
            </w:r>
            <w:r>
              <w:rPr>
                <w:rFonts w:ascii="Times New Roman" w:hAnsi="Times New Roman"/>
                <w:sz w:val="22"/>
                <w:szCs w:val="22"/>
              </w:rPr>
              <w:t>ondamentali del Consiglio Comunale ed emissione dei prestiti obbligazionari</w:t>
            </w:r>
          </w:p>
          <w:p w:rsidR="000D5E0B" w:rsidRDefault="001B2D67">
            <w:pPr>
              <w:jc w:val="both"/>
            </w:pPr>
            <w:r>
              <w:rPr>
                <w:rFonts w:ascii="Times New Roman" w:hAnsi="Times New Roman"/>
                <w:sz w:val="22"/>
                <w:szCs w:val="22"/>
              </w:rPr>
              <w:t>Spese che impegnano i bilanci per gli esercizi successivi, escluse quelle relative alle locazioni di immobili ed alla somministrazione e fornitura di beni e servizi a carattere con</w:t>
            </w:r>
            <w:r>
              <w:rPr>
                <w:rFonts w:ascii="Times New Roman" w:hAnsi="Times New Roman"/>
                <w:sz w:val="22"/>
                <w:szCs w:val="22"/>
              </w:rPr>
              <w:t>tinuativo</w:t>
            </w:r>
          </w:p>
          <w:p w:rsidR="000D5E0B" w:rsidRDefault="001B2D67">
            <w:pPr>
              <w:jc w:val="both"/>
            </w:pPr>
            <w:r>
              <w:rPr>
                <w:rFonts w:ascii="Times New Roman" w:hAnsi="Times New Roman"/>
                <w:sz w:val="22"/>
                <w:szCs w:val="22"/>
              </w:rPr>
              <w:t>Indirizzi per la nomina e la designazione dei rappresentanti del Comune presso enti, aziende ed istituzioni nonche' per la nomina dei rappresentanti del Consiglio presso enti, aziende ed istituzioni ad esso espressamente riservata dalla legge</w:t>
            </w:r>
          </w:p>
          <w:p w:rsidR="000D5E0B" w:rsidRDefault="001B2D67">
            <w:pPr>
              <w:jc w:val="both"/>
            </w:pPr>
            <w:r>
              <w:rPr>
                <w:rFonts w:ascii="Times New Roman" w:hAnsi="Times New Roman"/>
                <w:sz w:val="22"/>
                <w:szCs w:val="22"/>
              </w:rPr>
              <w:t>Org</w:t>
            </w:r>
            <w:r>
              <w:rPr>
                <w:rFonts w:ascii="Times New Roman" w:hAnsi="Times New Roman"/>
                <w:sz w:val="22"/>
                <w:szCs w:val="22"/>
              </w:rPr>
              <w:t>anismi di decentramento e di partecipazione</w:t>
            </w:r>
          </w:p>
          <w:p w:rsidR="000D5E0B" w:rsidRDefault="001B2D67">
            <w:pPr>
              <w:jc w:val="both"/>
            </w:pPr>
            <w:r>
              <w:rPr>
                <w:rFonts w:ascii="Times New Roman" w:hAnsi="Times New Roman"/>
                <w:sz w:val="22"/>
                <w:szCs w:val="22"/>
              </w:rPr>
              <w:t>Istituzione e ordinamento dei tributi, con esclusione della determinazione delle relative aliquote; disciplina generale delle tariffe per la fruizione dei beni e dei servizi</w:t>
            </w:r>
          </w:p>
          <w:p w:rsidR="000D5E0B" w:rsidRDefault="001B2D67">
            <w:pPr>
              <w:jc w:val="both"/>
            </w:pPr>
            <w:r>
              <w:rPr>
                <w:rFonts w:ascii="Times New Roman" w:hAnsi="Times New Roman"/>
                <w:sz w:val="22"/>
                <w:szCs w:val="22"/>
              </w:rPr>
              <w:t xml:space="preserve">Indirizzi da osservare da parte delle </w:t>
            </w:r>
            <w:r>
              <w:rPr>
                <w:rFonts w:ascii="Times New Roman" w:hAnsi="Times New Roman"/>
                <w:sz w:val="22"/>
                <w:szCs w:val="22"/>
              </w:rPr>
              <w:t>aziende pubbliche e degli enti dipendenti, sovvenzionati o sottoposti a vigilanza</w:t>
            </w:r>
          </w:p>
          <w:p w:rsidR="000D5E0B" w:rsidRDefault="001B2D67">
            <w:pPr>
              <w:jc w:val="both"/>
            </w:pPr>
            <w:r>
              <w:rPr>
                <w:rFonts w:ascii="Times New Roman" w:hAnsi="Times New Roman"/>
                <w:sz w:val="22"/>
                <w:szCs w:val="22"/>
              </w:rPr>
              <w:t>Acquisti ed alienazioni immobiliari, relative permute, appalti e concessioni che non siano previsti espressamente in atti fondamentali del Consiglio o che non ne costituiscan</w:t>
            </w:r>
            <w:r>
              <w:rPr>
                <w:rFonts w:ascii="Times New Roman" w:hAnsi="Times New Roman"/>
                <w:sz w:val="22"/>
                <w:szCs w:val="22"/>
              </w:rPr>
              <w:t>o mera esecuzione e che, comunque, non rientrino nella ordinaria amministrazione di funzioni e servizi di competenza della Giunta, del Segretario Generale o di altri funzionari</w:t>
            </w:r>
          </w:p>
          <w:p w:rsidR="000D5E0B" w:rsidRDefault="001B2D67">
            <w:pPr>
              <w:jc w:val="both"/>
            </w:pPr>
            <w:r>
              <w:rPr>
                <w:rFonts w:ascii="Times New Roman" w:hAnsi="Times New Roman"/>
                <w:sz w:val="22"/>
                <w:szCs w:val="22"/>
              </w:rPr>
              <w:t>Indirizzi generali e obiettivi strategici in materia di prevenzione della corruzione e di trasparenza</w:t>
            </w:r>
          </w:p>
          <w:p w:rsidR="000D5E0B" w:rsidRDefault="000D5E0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D67" w:rsidRDefault="001B2D67" w:rsidP="001F34C9">
      <w:r>
        <w:separator/>
      </w:r>
    </w:p>
  </w:endnote>
  <w:endnote w:type="continuationSeparator" w:id="0">
    <w:p w:rsidR="001B2D67" w:rsidRDefault="001B2D6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15C5">
      <w:rPr>
        <w:rStyle w:val="Numeropagina"/>
        <w:noProof/>
      </w:rPr>
      <w:t>3</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D67" w:rsidRDefault="001B2D67" w:rsidP="001F34C9">
      <w:r>
        <w:separator/>
      </w:r>
    </w:p>
  </w:footnote>
  <w:footnote w:type="continuationSeparator" w:id="0">
    <w:p w:rsidR="001B2D67" w:rsidRDefault="001B2D6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0B"/>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2D67"/>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515C5"/>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10</Pages>
  <Words>6132</Words>
  <Characters>34953</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41003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2019-06-19T08:59:00Z</dcterms:modified>
</cp:coreProperties>
</file>