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TUTTE LE AREE - ATTIVITA' TRASVERSALE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i settori - Attivita' trasversale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Tutti gli uffici - Attivita' trasversale</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Liquidazione fatture</w:t>
            </w:r>
          </w:p>
          <w:p w:rsidR="00D44676" w:rsidRDefault="00D44676">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43 - Ufficio Ragioneria - Trattamenti relativi all'attivita' di liquidazione e di pagamento di sovvenzioni, contributi, sussidi e attribuzione di vantaggi economici a persone fisiche</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bookmarkStart w:id="0" w:name="_GoBack"/>
            <w:bookmarkEnd w:id="0"/>
          </w:p>
          <w:p w:rsidR="00D44676" w:rsidRDefault="00213DEE">
            <w:pPr>
              <w:jc w:val="both"/>
            </w:pPr>
            <w:r>
              <w:rPr>
                <w:rFonts w:ascii="Times New Roman" w:hAnsi="Times New Roman"/>
                <w:sz w:val="22"/>
                <w:szCs w:val="22"/>
              </w:rPr>
              <w:t>Dott.ssa Schito Sandrina</w:t>
            </w:r>
          </w:p>
          <w:p w:rsidR="00D44676" w:rsidRDefault="00D44676">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213DEE"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D44676" w:rsidRDefault="00D44676">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Liquidazione fatture</w:t>
            </w:r>
          </w:p>
          <w:p w:rsidR="00D44676" w:rsidRDefault="00D44676">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Scheda n. 43 -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123/2011 - D.Lgs. n. 149/2011 - L. 190/2012 - PNA 2013, e successivi nonche' PTPC in vigore - D.Lgs. n. 33/2013 - DPR n. 62/2013 e Codice di comportamento dell'Ente - L. 124/2015 e decreti legislativi attuativi - Reg. UE 679/2016 - DPR n. 445/2000 - Statuto - Regolamento sul procedimento amministrativo</w:t>
            </w:r>
          </w:p>
          <w:p w:rsidR="00D44676" w:rsidRDefault="00213DEE">
            <w:pPr>
              <w:jc w:val="both"/>
            </w:pPr>
            <w:r>
              <w:rPr>
                <w:rFonts w:ascii="Times New Roman" w:hAnsi="Times New Roman"/>
                <w:sz w:val="22"/>
                <w:szCs w:val="22"/>
              </w:rPr>
              <w:lastRenderedPageBreak/>
              <w:t>D.Lgs. 118/2011 - D.Lgs. 126/2014</w:t>
            </w:r>
          </w:p>
          <w:p w:rsidR="00D44676" w:rsidRDefault="00213DEE">
            <w:pPr>
              <w:jc w:val="both"/>
            </w:pPr>
            <w:r>
              <w:rPr>
                <w:rFonts w:ascii="Times New Roman" w:hAnsi="Times New Roman"/>
                <w:sz w:val="22"/>
                <w:szCs w:val="22"/>
              </w:rPr>
              <w:t>Regolamento di contabilita'</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w:t>
            </w:r>
            <w:r w:rsidRPr="00CF0984">
              <w:rPr>
                <w:rFonts w:ascii="Times New Roman" w:hAnsi="Times New Roman"/>
                <w:bCs/>
                <w:sz w:val="22"/>
                <w:szCs w:val="22"/>
              </w:rPr>
              <w:lastRenderedPageBreak/>
              <w:t>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Ulteriori 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lastRenderedPageBreak/>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lastRenderedPageBreak/>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 xml:space="preserve">l'interessato contesta l'esattezza dei dati personali, per il periodo </w:t>
            </w:r>
            <w:r w:rsidRPr="000065F4">
              <w:rPr>
                <w:rFonts w:ascii="Times New Roman" w:hAnsi="Times New Roman" w:cs="Times New Roman"/>
                <w:sz w:val="20"/>
                <w:szCs w:val="20"/>
              </w:rPr>
              <w:lastRenderedPageBreak/>
              <w:t>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lastRenderedPageBreak/>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 xml:space="preserve">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w:t>
            </w:r>
            <w:r w:rsidRPr="000065F4">
              <w:rPr>
                <w:rFonts w:ascii="Times New Roman" w:hAnsi="Times New Roman"/>
              </w:rPr>
              <w:lastRenderedPageBreak/>
              <w:t>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w:t>
            </w:r>
            <w:r w:rsidRPr="000065F4">
              <w:rPr>
                <w:rFonts w:ascii="Times New Roman" w:hAnsi="Times New Roman" w:cs="Times New Roman"/>
                <w:sz w:val="20"/>
                <w:szCs w:val="20"/>
              </w:rPr>
              <w:lastRenderedPageBreak/>
              <w:t>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DEE" w:rsidRDefault="00213DEE" w:rsidP="001F34C9">
      <w:r>
        <w:separator/>
      </w:r>
    </w:p>
  </w:endnote>
  <w:endnote w:type="continuationSeparator" w:id="0">
    <w:p w:rsidR="00213DEE" w:rsidRDefault="00213DEE"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0F6F96">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DEE" w:rsidRDefault="00213DEE" w:rsidP="001F34C9">
      <w:r>
        <w:separator/>
      </w:r>
    </w:p>
  </w:footnote>
  <w:footnote w:type="continuationSeparator" w:id="0">
    <w:p w:rsidR="00213DEE" w:rsidRDefault="00213DEE"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0F6F96"/>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3DEE"/>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4676"/>
    <w:rsid w:val="00D4535C"/>
    <w:rsid w:val="00DA5F55"/>
    <w:rsid w:val="00DC33CA"/>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907</TotalTime>
  <Pages>8</Pages>
  <Words>5153</Words>
  <Characters>29373</Characters>
  <Application>Microsoft Office Word</Application>
  <DocSecurity>0</DocSecurity>
  <Lines>244</Lines>
  <Paragraphs>68</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2019-06-19T09:56:00Z</dcterms:modified>
</cp:coreProperties>
</file>